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725"/>
        <w:tblW w:w="7083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276"/>
        <w:gridCol w:w="1276"/>
        <w:gridCol w:w="1276"/>
        <w:gridCol w:w="1417"/>
        <w:gridCol w:w="1276"/>
        <w:tblGridChange w:id="0">
          <w:tblGrid>
            <w:gridCol w:w="562"/>
            <w:gridCol w:w="1276"/>
            <w:gridCol w:w="1276"/>
            <w:gridCol w:w="1276"/>
            <w:gridCol w:w="1417"/>
            <w:gridCol w:w="1276"/>
          </w:tblGrid>
        </w:tblGridChange>
      </w:tblGrid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15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  <w:t xml:space="preserve">БП 1, БП 4, БП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33cc33" w:val="clear"/>
          </w:tcPr>
          <w:p w:rsidR="00000000" w:rsidDel="00000000" w:rsidP="00000000" w:rsidRDefault="00000000" w:rsidRPr="00000000" w14:paraId="0000001B">
            <w:pPr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БП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33cc33" w:val="clear"/>
          </w:tcPr>
          <w:p w:rsidR="00000000" w:rsidDel="00000000" w:rsidP="00000000" w:rsidRDefault="00000000" w:rsidRPr="00000000" w14:paraId="0000001C">
            <w:pPr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БП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eivb01yfvll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Карта коррупционных рисков РГКП «Казахский национальный оркестр народных инструментов имени Курмангазы» Комитета культуры Министерства культуры и информации Республики Казахстан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465"/>
        <w:tblW w:w="5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1"/>
          <w:trHeight w:val="565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ВЛИЯНИЕ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ВЕРОЯТНОСТЬ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Реестр коррупционных рисков: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БП 1 Урегулирование конфликта интересов (1/2);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БП 2 Заключения/расторжения договоров с контрагентами (1/2);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БП 3 Найм персонала (1/1);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БП 4 Закупки в рамках государственного закупа (1/2);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БП 5 Исполнение договора контрагентами (2/3);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Критерии оценки вероятности рисков: 1- очень редко;2- редко;3- время от времени; 4 - часто; 5 - очень часто.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Критерии оценки влияния рисков: 1- незначительное;2- заметное;3- крупное; 4 – криттическое; 5 - катастрофическое.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Расчет уровня риска проводится следующим образом: уровень риска=вероятность*влияние 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177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4">
    <w:name w:val="Grid Table Light"/>
    <w:basedOn w:val="a1"/>
    <w:uiPriority w:val="40"/>
    <w:rsid w:val="00A1779C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5YKMETwHX/+Q5vp+ijPsSby7w==">CgMxLjAyDmguZWl2YjAxeWZ2bGxwOAByITFvVkZZNWc5Q0pKM0ZHVC1LOHlJWkxXMVpYUWxUZExuTw==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2025-10-07T10:32:00Z</dcterms:created>
  <dc:creator>Мадина</dc:creator>
</cp:coreProperties>
</file>